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广元市朝天区2021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年度涉农价格公示表</w:t>
      </w:r>
    </w:p>
    <w:tbl>
      <w:tblPr>
        <w:tblStyle w:val="3"/>
        <w:tblW w:w="14179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88"/>
        <w:gridCol w:w="2268"/>
        <w:gridCol w:w="1073"/>
        <w:gridCol w:w="2635"/>
        <w:gridCol w:w="1123"/>
        <w:gridCol w:w="267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收费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收费项目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5" w:hanging="120" w:hangingChars="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收费标准（元）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收费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收费依据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农村居民生活用电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千瓦时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川发改价格规[2021]237号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[2021]401号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广发改[2016]186号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对城乡</w:t>
            </w:r>
            <w:r>
              <w:rPr>
                <w:rFonts w:hint="eastAsia" w:ascii="仿宋_GB2312" w:eastAsia="仿宋_GB2312"/>
                <w:sz w:val="24"/>
                <w:szCs w:val="24"/>
              </w:rPr>
              <w:t>“低保户”和农村“五保户”家庭设置免费用电基数，标准为每户每月15度。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城乡居民合表用户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0.5464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城乡“一户一表”居民用户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月用电量180千瓦时以内部分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0.5224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60" w:hangingChars="1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月用电量181-280千瓦时部分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0.6224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月用电量超过280千瓦时部分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0.8224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农业灌溉用水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立方米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农户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川发改价格规[2021]237号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〔2017〕455号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广朝价发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〔2017〕37号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水稻、小麦、玉米、油菜等粮油作物用水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0.15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经济作物、养殖业和其他用水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0.18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有线数字电视基本收视维护费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户／月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〔2019〕214号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对城乡低保对象和农村“五保”免收主终端有线数字电视基本收视维护费。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基本养老服务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[2021]237号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〔2015〕362号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widowControl/>
              <w:spacing w:line="300" w:lineRule="exact"/>
              <w:ind w:firstLine="116" w:firstLine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4"/>
                <w:szCs w:val="24"/>
              </w:rPr>
              <w:t>广朝发改〔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pacing w:val="-4"/>
                <w:kern w:val="0"/>
                <w:sz w:val="24"/>
                <w:szCs w:val="24"/>
              </w:rPr>
              <w:t>〕86号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</w:rPr>
              <w:t>床位费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元/人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单人间14元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双人间10元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</w:rPr>
              <w:t>护理费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元/人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一级护理15元，二级护理10元，三级护理7元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楷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伙食费等服务收费项目按照非营利原则据实收取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殡葬延伸服务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川发改价格规[2021]237号，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[2012]989号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遗体收敛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正常死亡遗体240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广发改函〔2021〕53号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对正常死亡遗体进行消毒处理后装敛(含清洁袋耗材)。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非正常死亡遗体420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对非正常原因死亡(含传染性疾病死亡、高度腐烂)遗体进行消毒处置后装敛(含清洁袋耗材)。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遗体整理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遗体洁身400；遗体更衣200；遗体化妆200；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协助尸检350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礼厅租用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间/小时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告别小厅300；告别中厅350；豪华告别大厅800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遗像制作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尺寸规格为:29.7厘米*42厘米,含遗像框和镜框花。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花圈租赁（绢花花圈）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40/50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直径1.2米40元/个；直径1.5米的50元/个。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包括主持词撰写、主持殡仪活动。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乐队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全场由乐队在殡仪活动现场吹奏乐曲。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电子礼炮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川发改价格规[2021]237号，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[2012]989号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广发改函〔2021〕53号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在殡仪活动现场提供电子礼炮鸣放服务。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守灵服务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小时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代客户上香、点蜡、点油灯等服务。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预约火化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50.00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在殡仪馆正常工作流程和工作时间（7:00-17:00）内，客户指定具体的火化时间。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遗物焚烧处理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在殡仪馆指定地点焚烧逝者遗物。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其他延伸服务项目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按文件规定执行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广发改函〔2021〕59号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公墓维护管理费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元/年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墓墙： 20/30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普通墓：30/40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中档墓：40/50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高档墓：80 / 100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广朝价函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（2011）2号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含人员工资、补贴、墓区维修费。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高中教材费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生／期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学校按实代收，不得营利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</w:t>
            </w: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〔2019〕280号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〔2019〕246号</w:t>
            </w: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高中作业本费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学校按实代收，不得营利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教辅教材费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学校按实代收，不得营利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小学、初中课后服务费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朝天城区：3元/课时；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城区以外：2.5元/课时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川发改价格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〔2019〕246号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广发改〔2019〕305号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广发改〔2020〕413号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</w:p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广朝发改</w:t>
            </w:r>
          </w:p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〔2021〕98号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以学校为主体开展的课后服务费，学生选择、家长申请，自愿原则。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570B"/>
    <w:rsid w:val="0815570B"/>
    <w:rsid w:val="0CB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2021-12-13T08:33:00Z</dcterms:created>
  <dc:creator>无欲</dc:creator>
  <cp:lastModifiedBy>无欲</cp:lastModifiedBy>
  <dcterms:modified xsi:type="dcterms:W3CDTF">2021-12-13T08:34:51Z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C68CF287CB0C4C5D801E8CE2125ADD6A</vt:lpwstr>
  </property>
</Properties>
</file>